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  <w:r>
        <w:pict>
          <v:shape id="_x0000_s1027" o:spid="_x0000_s1027" o:spt="75" type="#_x0000_t75" style="position:absolute;left:0pt;margin-left:278.5pt;margin-top:12.9pt;height:87.5pt;width:225.6pt;mso-wrap-distance-left:9pt;mso-wrap-distance-right:9pt;z-index:-503314432;mso-width-relative:page;mso-height-relative:page;" filled="f" o:preferrelative="t" stroked="f" coordsize="21600,21600" wrapcoords="21592 -2 0 0 0 21600 21592 21602 8 21602 21600 21600 21600 0 8 -2 21592 -2">
            <v:path/>
            <v:fill on="f" focussize="0,0"/>
            <v:stroke on="f"/>
            <v:imagedata r:id="rId5" o:title=""/>
            <o:lock v:ext="edit" aspectratio="t"/>
            <w10:wrap type="tight"/>
          </v:shape>
        </w:pict>
      </w:r>
      <w:r>
        <w:pict>
          <v:shape id="_x0000_s1026" o:spid="_x0000_s1026" o:spt="75" alt="K%252525252560Z3%25252525255dN%252525252525K_%25252525257d(VV%25252525255b(T7S%25252525255dD2%252525252560Y" type="#_x0000_t75" style="position:absolute;left:0pt;margin-left:162.75pt;margin-top:-60pt;height:56.3pt;width:146.9pt;mso-wrap-distance-bottom:0pt;mso-wrap-distance-left:9pt;mso-wrap-distance-right:9pt;mso-wrap-distance-top:0pt;z-index:1024;mso-width-relative:page;mso-height-relative:page;" filled="f" o:preferrelative="t" stroked="f" coordsize="21600,21600">
            <v:path/>
            <v:fill on="f" focussize="0,0"/>
            <v:stroke on="f"/>
            <v:imagedata r:id="rId6" o:title="K%252525252560Z3%25252525255dN%252525252525K_%25252525257d(VV%25252525255b(T7S%25252525255dD2%252525252560Y"/>
            <o:lock v:ext="edit" aspectratio="t"/>
            <w10:wrap type="square"/>
          </v:shape>
        </w:pict>
      </w:r>
    </w:p>
    <w:p>
      <w:pPr>
        <w:jc w:val="center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</w:t>
      </w:r>
    </w:p>
    <w:p>
      <w:pPr>
        <w:jc w:val="both"/>
        <w:rPr>
          <w:rFonts w:hint="eastAsia" w:ascii="宋体" w:eastAsia="宋体" w:cs="宋体"/>
          <w:b/>
          <w:bCs/>
          <w:sz w:val="28"/>
          <w:szCs w:val="28"/>
        </w:rPr>
      </w:pPr>
    </w:p>
    <w:p>
      <w:pPr>
        <w:jc w:val="both"/>
        <w:rPr>
          <w:rFonts w:ascii="宋体" w:eastAsia="宋体" w:cs="宋体"/>
          <w:b/>
          <w:bCs/>
          <w:sz w:val="28"/>
          <w:szCs w:val="28"/>
        </w:rPr>
      </w:pPr>
      <w:r>
        <w:rPr>
          <w:rFonts w:hint="eastAsia" w:ascii="宋体" w:eastAsia="宋体" w:cs="宋体"/>
          <w:b/>
          <w:bCs/>
          <w:sz w:val="28"/>
          <w:szCs w:val="28"/>
        </w:rPr>
        <w:t>技术参数：</w:t>
      </w:r>
    </w:p>
    <w:tbl>
      <w:tblPr>
        <w:tblStyle w:val="8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2529"/>
        <w:gridCol w:w="2529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480" w:leftChars="21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型号</w:t>
            </w:r>
          </w:p>
        </w:tc>
        <w:tc>
          <w:tcPr>
            <w:tcW w:w="2529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CL-4</w:t>
            </w:r>
          </w:p>
        </w:tc>
        <w:tc>
          <w:tcPr>
            <w:tcW w:w="2529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CL-6</w:t>
            </w:r>
          </w:p>
        </w:tc>
        <w:tc>
          <w:tcPr>
            <w:tcW w:w="2529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CL-8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529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480" w:leftChars="218" w:firstLine="960" w:firstLineChars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输出功率8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Ω</w:t>
            </w:r>
          </w:p>
        </w:tc>
        <w:tc>
          <w:tcPr>
            <w:tcW w:w="2529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2X400W</w:t>
            </w:r>
          </w:p>
        </w:tc>
        <w:tc>
          <w:tcPr>
            <w:tcW w:w="2529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2X600W</w:t>
            </w:r>
          </w:p>
        </w:tc>
        <w:tc>
          <w:tcPr>
            <w:tcW w:w="2529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2X800W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480" w:leftChars="218" w:firstLine="960" w:firstLineChars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输出功率4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Ω</w:t>
            </w:r>
          </w:p>
        </w:tc>
        <w:tc>
          <w:tcPr>
            <w:tcW w:w="2529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2X600W</w:t>
            </w:r>
          </w:p>
        </w:tc>
        <w:tc>
          <w:tcPr>
            <w:tcW w:w="2529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2X900W</w:t>
            </w:r>
          </w:p>
        </w:tc>
        <w:tc>
          <w:tcPr>
            <w:tcW w:w="2529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2X1200W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桥接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功率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Ω</w:t>
            </w:r>
          </w:p>
        </w:tc>
        <w:tc>
          <w:tcPr>
            <w:tcW w:w="2529" w:type="dxa"/>
            <w:vAlign w:val="center"/>
          </w:tcPr>
          <w:p>
            <w:pPr>
              <w:widowControl w:val="0"/>
              <w:jc w:val="center"/>
              <w:rPr>
                <w:rFonts w:hint="eastAsia"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2X</w:t>
            </w:r>
            <w:r>
              <w:rPr>
                <w:rFonts w:hint="eastAsia" w:ascii="宋体" w:eastAsia="宋体" w:cs="宋体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eastAsia="宋体" w:cs="宋体"/>
                <w:bCs/>
                <w:sz w:val="28"/>
                <w:szCs w:val="28"/>
              </w:rPr>
              <w:t>00W</w:t>
            </w:r>
          </w:p>
        </w:tc>
        <w:tc>
          <w:tcPr>
            <w:tcW w:w="2529" w:type="dxa"/>
            <w:vAlign w:val="center"/>
          </w:tcPr>
          <w:p>
            <w:pPr>
              <w:widowControl w:val="0"/>
              <w:jc w:val="center"/>
              <w:rPr>
                <w:rFonts w:hint="eastAsia"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2X</w:t>
            </w:r>
            <w:r>
              <w:rPr>
                <w:rFonts w:hint="eastAsia" w:ascii="宋体" w:eastAsia="宋体" w:cs="宋体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eastAsia="宋体" w:cs="宋体"/>
                <w:bCs/>
                <w:sz w:val="28"/>
                <w:szCs w:val="28"/>
              </w:rPr>
              <w:t>00W</w:t>
            </w:r>
          </w:p>
        </w:tc>
        <w:tc>
          <w:tcPr>
            <w:tcW w:w="2529" w:type="dxa"/>
            <w:vAlign w:val="center"/>
          </w:tcPr>
          <w:p>
            <w:pPr>
              <w:widowControl w:val="0"/>
              <w:jc w:val="center"/>
              <w:rPr>
                <w:rFonts w:hint="eastAsia"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2X</w:t>
            </w:r>
            <w:r>
              <w:rPr>
                <w:rFonts w:hint="eastAsia" w:ascii="宋体" w:eastAsia="宋体" w:cs="宋体"/>
                <w:bCs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宋体" w:eastAsia="宋体" w:cs="宋体"/>
                <w:bCs/>
                <w:sz w:val="28"/>
                <w:szCs w:val="28"/>
              </w:rPr>
              <w:t>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信噪比</w:t>
            </w:r>
          </w:p>
        </w:tc>
        <w:tc>
          <w:tcPr>
            <w:tcW w:w="252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≥1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dB</w:t>
            </w:r>
          </w:p>
        </w:tc>
        <w:tc>
          <w:tcPr>
            <w:tcW w:w="252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≥1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dB</w:t>
            </w:r>
          </w:p>
        </w:tc>
        <w:tc>
          <w:tcPr>
            <w:tcW w:w="2529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≥1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240" w:leftChars="109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频率响应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20Hz-20KHz,±0.5dB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240" w:leftChars="109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输入灵敏度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0.775V/1V/1.4V(+5dB</w:t>
            </w:r>
            <w:r>
              <w:rPr>
                <w:rFonts w:ascii="宋体" w:eastAsia="宋体" w:cs="宋体"/>
                <w:bCs/>
                <w:sz w:val="28"/>
                <w:szCs w:val="28"/>
              </w:rPr>
              <w:t>u</w:t>
            </w:r>
            <w:r>
              <w:rPr>
                <w:rFonts w:hint="eastAsia" w:ascii="宋体" w:eastAsia="宋体" w:cs="宋体"/>
                <w:bCs/>
                <w:sz w:val="28"/>
                <w:szCs w:val="28"/>
              </w:rPr>
              <w:t>),BALANCE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240" w:leftChars="109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总谐波失真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≤0.5%,1KHz,1/3 Rate Power.8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外形尺寸(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WxDxH）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485mmX390mmX88</w:t>
            </w:r>
            <w:bookmarkStart w:id="0" w:name="_GoBack"/>
            <w:bookmarkEnd w:id="0"/>
            <w:r>
              <w:rPr>
                <w:rFonts w:hint="eastAsia" w:ascii="宋体" w:eastAsia="宋体" w:cs="宋体"/>
                <w:bCs/>
                <w:sz w:val="28"/>
                <w:szCs w:val="28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240" w:leftChars="109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包装尺寸(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WxDxH）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560mmX530mmX150mm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净重</w:t>
            </w:r>
          </w:p>
        </w:tc>
        <w:tc>
          <w:tcPr>
            <w:tcW w:w="2529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13KG</w:t>
            </w:r>
          </w:p>
        </w:tc>
        <w:tc>
          <w:tcPr>
            <w:tcW w:w="2529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16KG</w:t>
            </w:r>
          </w:p>
        </w:tc>
        <w:tc>
          <w:tcPr>
            <w:tcW w:w="2529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17KG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毛重</w:t>
            </w:r>
          </w:p>
        </w:tc>
        <w:tc>
          <w:tcPr>
            <w:tcW w:w="2529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14.5KG</w:t>
            </w:r>
          </w:p>
        </w:tc>
        <w:tc>
          <w:tcPr>
            <w:tcW w:w="2529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17.5KG</w:t>
            </w:r>
          </w:p>
        </w:tc>
        <w:tc>
          <w:tcPr>
            <w:tcW w:w="2529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Cs/>
                <w:sz w:val="28"/>
                <w:szCs w:val="28"/>
              </w:rPr>
              <w:t>18.5KG</w:t>
            </w:r>
          </w:p>
        </w:tc>
      </w:tr>
    </w:tbl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jc w:val="both"/>
        <w:rPr>
          <w:rFonts w:ascii="宋体" w:eastAsia="宋体" w:cs="宋体"/>
          <w:b/>
          <w:bCs/>
          <w:sz w:val="28"/>
          <w:szCs w:val="28"/>
        </w:rPr>
      </w:pPr>
      <w:r>
        <w:rPr>
          <w:rFonts w:hint="eastAsia" w:ascii="宋体" w:eastAsia="宋体" w:cs="宋体"/>
          <w:b/>
          <w:bCs/>
          <w:sz w:val="28"/>
          <w:szCs w:val="28"/>
        </w:rPr>
        <w:t>功能特点：</w:t>
      </w:r>
    </w:p>
    <w:p>
      <w:pPr>
        <w:jc w:val="both"/>
        <w:rPr>
          <w:rFonts w:ascii="宋体" w:eastAsia="宋体" w:cs="宋体"/>
          <w:b/>
          <w:bCs/>
          <w:sz w:val="28"/>
          <w:szCs w:val="28"/>
        </w:rPr>
      </w:pPr>
      <w:r>
        <w:rPr>
          <w:rFonts w:hint="eastAsia"/>
        </w:rPr>
        <w:t xml:space="preserve">H类电路双通道功放         </w:t>
      </w:r>
    </w:p>
    <w:p>
      <w:pPr>
        <w:jc w:val="both"/>
      </w:pPr>
      <w:r>
        <w:rPr>
          <w:rFonts w:hint="eastAsia"/>
        </w:rPr>
        <w:t>一、2U机型，铝合金面板，表面磨砂工艺氧化处理；</w:t>
      </w:r>
    </w:p>
    <w:p>
      <w:pPr>
        <w:jc w:val="both"/>
      </w:pPr>
      <w:r>
        <w:rPr>
          <w:rFonts w:hint="eastAsia"/>
        </w:rPr>
        <w:t>二、带密码锁，可以自由设定密码和开机次数；</w:t>
      </w:r>
    </w:p>
    <w:p>
      <w:pPr>
        <w:jc w:val="both"/>
      </w:pPr>
      <w:r>
        <w:rPr>
          <w:rFonts w:hint="eastAsia"/>
        </w:rPr>
        <w:t>三、面板设有保护、峰值限幅、音乐信号、工作模式、电源等指示灯，工作状态一目了然；</w:t>
      </w:r>
    </w:p>
    <w:p>
      <w:pPr>
        <w:jc w:val="both"/>
      </w:pPr>
      <w:r>
        <w:rPr>
          <w:rFonts w:hint="eastAsia"/>
        </w:rPr>
        <w:t>四、控制:前面板：显示屏、电源开关、通道１和通道２音量控制器；整机保护功能：峰值限幅，短路，过热，软启动;整机80%以上使用SMD元件安装技术，精心布局，一致性极佳；</w:t>
      </w:r>
    </w:p>
    <w:p>
      <w:pPr>
        <w:jc w:val="both"/>
      </w:pPr>
      <w:r>
        <w:rPr>
          <w:rFonts w:hint="eastAsia"/>
        </w:rPr>
        <w:t>五、CL开创开机自动检测负载阻抗，自动双软削波限幅电路，使功放和扬声器更安全，出色的软启动、过热、短路、断路、软削波限幅等保护等多重智能逻辑判断保护系统，以保证具有强劲的电源供应能力，整体电路经过极其严格的测试，可靠性极佳。</w:t>
      </w: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pict>
          <v:shape id="_x0000_i1025" o:spt="75" type="#_x0000_t75" style="height:280.8pt;width:494.4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line="220" w:lineRule="atLeast"/>
      </w:pPr>
      <w:r>
        <w:pict>
          <v:shape id="_x0000_i1026" o:spt="75" type="#_x0000_t75" style="height:243.6pt;width:494.4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sectPr>
      <w:headerReference r:id="rId3" w:type="default"/>
      <w:pgSz w:w="11906" w:h="16838"/>
      <w:pgMar w:top="1440" w:right="1086" w:bottom="438" w:left="9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napToGrid/>
      <w:spacing w:after="0"/>
      <w:ind w:left="4156" w:leftChars="1298" w:hanging="1300" w:hangingChars="250"/>
      <w:rPr>
        <w:rFonts w:ascii="宋体" w:hAnsi="宋体" w:eastAsia="宋体"/>
        <w:color w:val="0000FF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4BB8"/>
    <w:rsid w:val="00020F0C"/>
    <w:rsid w:val="000E697D"/>
    <w:rsid w:val="001026D0"/>
    <w:rsid w:val="00157660"/>
    <w:rsid w:val="00157F50"/>
    <w:rsid w:val="00170B0F"/>
    <w:rsid w:val="00183354"/>
    <w:rsid w:val="001B3108"/>
    <w:rsid w:val="00210274"/>
    <w:rsid w:val="00222A92"/>
    <w:rsid w:val="0031238C"/>
    <w:rsid w:val="00315143"/>
    <w:rsid w:val="00317813"/>
    <w:rsid w:val="00323B43"/>
    <w:rsid w:val="00330E01"/>
    <w:rsid w:val="003A1112"/>
    <w:rsid w:val="003B7D2E"/>
    <w:rsid w:val="003D37D8"/>
    <w:rsid w:val="003E3C15"/>
    <w:rsid w:val="00426133"/>
    <w:rsid w:val="00431E0F"/>
    <w:rsid w:val="004358AB"/>
    <w:rsid w:val="00436198"/>
    <w:rsid w:val="00472974"/>
    <w:rsid w:val="004A0447"/>
    <w:rsid w:val="004B3F6C"/>
    <w:rsid w:val="004C26B4"/>
    <w:rsid w:val="004C4BAA"/>
    <w:rsid w:val="004F32EB"/>
    <w:rsid w:val="004F5A13"/>
    <w:rsid w:val="005026C7"/>
    <w:rsid w:val="00520E02"/>
    <w:rsid w:val="0053490F"/>
    <w:rsid w:val="00556F2F"/>
    <w:rsid w:val="0056505D"/>
    <w:rsid w:val="005D5E34"/>
    <w:rsid w:val="005E1041"/>
    <w:rsid w:val="005E691B"/>
    <w:rsid w:val="006119CB"/>
    <w:rsid w:val="00654CD3"/>
    <w:rsid w:val="006C0A1F"/>
    <w:rsid w:val="006C70B2"/>
    <w:rsid w:val="006D48A4"/>
    <w:rsid w:val="006E54B5"/>
    <w:rsid w:val="007432C6"/>
    <w:rsid w:val="007B749F"/>
    <w:rsid w:val="007E5CDC"/>
    <w:rsid w:val="00851A65"/>
    <w:rsid w:val="008B7726"/>
    <w:rsid w:val="008D569E"/>
    <w:rsid w:val="00911F78"/>
    <w:rsid w:val="0092346B"/>
    <w:rsid w:val="009551C7"/>
    <w:rsid w:val="009B4129"/>
    <w:rsid w:val="009C0BE9"/>
    <w:rsid w:val="00A67868"/>
    <w:rsid w:val="00A91D6E"/>
    <w:rsid w:val="00AE4D52"/>
    <w:rsid w:val="00B041CC"/>
    <w:rsid w:val="00B10283"/>
    <w:rsid w:val="00B26200"/>
    <w:rsid w:val="00BA0BF1"/>
    <w:rsid w:val="00BA615C"/>
    <w:rsid w:val="00BD761E"/>
    <w:rsid w:val="00BE0326"/>
    <w:rsid w:val="00C773A7"/>
    <w:rsid w:val="00C829A0"/>
    <w:rsid w:val="00C838AD"/>
    <w:rsid w:val="00CA169E"/>
    <w:rsid w:val="00CC3F52"/>
    <w:rsid w:val="00CF0134"/>
    <w:rsid w:val="00CF0E0E"/>
    <w:rsid w:val="00CF11AF"/>
    <w:rsid w:val="00D31D50"/>
    <w:rsid w:val="00D46372"/>
    <w:rsid w:val="00DB1A09"/>
    <w:rsid w:val="00E07F21"/>
    <w:rsid w:val="00E222B5"/>
    <w:rsid w:val="00E34432"/>
    <w:rsid w:val="00E370BA"/>
    <w:rsid w:val="00E92B87"/>
    <w:rsid w:val="00EA30F3"/>
    <w:rsid w:val="00EA7B77"/>
    <w:rsid w:val="00EB23EF"/>
    <w:rsid w:val="00EF14F2"/>
    <w:rsid w:val="00F6346B"/>
    <w:rsid w:val="00F80C5F"/>
    <w:rsid w:val="00F80FB9"/>
    <w:rsid w:val="00F86CA3"/>
    <w:rsid w:val="00F932A7"/>
    <w:rsid w:val="01B47A59"/>
    <w:rsid w:val="021D3C05"/>
    <w:rsid w:val="026C7207"/>
    <w:rsid w:val="0420325B"/>
    <w:rsid w:val="044D191B"/>
    <w:rsid w:val="045B0C31"/>
    <w:rsid w:val="04C469EB"/>
    <w:rsid w:val="05AC2B5C"/>
    <w:rsid w:val="05D61BC9"/>
    <w:rsid w:val="065A76DB"/>
    <w:rsid w:val="06F6187A"/>
    <w:rsid w:val="07F909D3"/>
    <w:rsid w:val="08A53B3F"/>
    <w:rsid w:val="09760791"/>
    <w:rsid w:val="09F85FAD"/>
    <w:rsid w:val="0A1D4625"/>
    <w:rsid w:val="0A351CCC"/>
    <w:rsid w:val="0A6B06AD"/>
    <w:rsid w:val="0A7814BB"/>
    <w:rsid w:val="0AF627BE"/>
    <w:rsid w:val="0CAE3659"/>
    <w:rsid w:val="0DC15578"/>
    <w:rsid w:val="0DE12751"/>
    <w:rsid w:val="0E7819CB"/>
    <w:rsid w:val="0E983792"/>
    <w:rsid w:val="0EE119FD"/>
    <w:rsid w:val="0F1B5F10"/>
    <w:rsid w:val="0F937283"/>
    <w:rsid w:val="0F9A75DE"/>
    <w:rsid w:val="12041F1C"/>
    <w:rsid w:val="122B1DDC"/>
    <w:rsid w:val="127F1866"/>
    <w:rsid w:val="12DB66FD"/>
    <w:rsid w:val="13F526CC"/>
    <w:rsid w:val="145E2782"/>
    <w:rsid w:val="147220C1"/>
    <w:rsid w:val="154C2FEB"/>
    <w:rsid w:val="165D570D"/>
    <w:rsid w:val="16A641B4"/>
    <w:rsid w:val="16B75D7F"/>
    <w:rsid w:val="174E7F24"/>
    <w:rsid w:val="17697775"/>
    <w:rsid w:val="189C4941"/>
    <w:rsid w:val="19146235"/>
    <w:rsid w:val="1998580B"/>
    <w:rsid w:val="1BB50104"/>
    <w:rsid w:val="1C516039"/>
    <w:rsid w:val="1E663FC1"/>
    <w:rsid w:val="1E734785"/>
    <w:rsid w:val="1E742207"/>
    <w:rsid w:val="1EE01536"/>
    <w:rsid w:val="1F854814"/>
    <w:rsid w:val="1FB81CCE"/>
    <w:rsid w:val="1FCF11BE"/>
    <w:rsid w:val="2008481B"/>
    <w:rsid w:val="20BD5EE9"/>
    <w:rsid w:val="22567FA6"/>
    <w:rsid w:val="228223AC"/>
    <w:rsid w:val="228A1037"/>
    <w:rsid w:val="23AF3398"/>
    <w:rsid w:val="23C85462"/>
    <w:rsid w:val="24020C24"/>
    <w:rsid w:val="246B154C"/>
    <w:rsid w:val="24CF7614"/>
    <w:rsid w:val="25C32E03"/>
    <w:rsid w:val="25F636FF"/>
    <w:rsid w:val="26112B82"/>
    <w:rsid w:val="277D5657"/>
    <w:rsid w:val="282060F8"/>
    <w:rsid w:val="286A785E"/>
    <w:rsid w:val="28F65BBF"/>
    <w:rsid w:val="290563D8"/>
    <w:rsid w:val="29533F58"/>
    <w:rsid w:val="29BF32B6"/>
    <w:rsid w:val="29EA7A6B"/>
    <w:rsid w:val="2A1C04A8"/>
    <w:rsid w:val="2A3624F0"/>
    <w:rsid w:val="2B8D5E01"/>
    <w:rsid w:val="2D0E58FB"/>
    <w:rsid w:val="2D932CD3"/>
    <w:rsid w:val="2E662BE5"/>
    <w:rsid w:val="2E777B6B"/>
    <w:rsid w:val="2E78204D"/>
    <w:rsid w:val="2F697229"/>
    <w:rsid w:val="2FEF2B33"/>
    <w:rsid w:val="2FF81244"/>
    <w:rsid w:val="30143363"/>
    <w:rsid w:val="317D42E9"/>
    <w:rsid w:val="31B04D12"/>
    <w:rsid w:val="31F71741"/>
    <w:rsid w:val="32CA0CE2"/>
    <w:rsid w:val="350D7F97"/>
    <w:rsid w:val="353A25E4"/>
    <w:rsid w:val="358640DB"/>
    <w:rsid w:val="35995C06"/>
    <w:rsid w:val="35B03024"/>
    <w:rsid w:val="35BA13B5"/>
    <w:rsid w:val="373B05AC"/>
    <w:rsid w:val="37746F57"/>
    <w:rsid w:val="37B94EEA"/>
    <w:rsid w:val="38A35953"/>
    <w:rsid w:val="39430981"/>
    <w:rsid w:val="3966608B"/>
    <w:rsid w:val="39BF24C9"/>
    <w:rsid w:val="39DB0C03"/>
    <w:rsid w:val="3A3A6FEE"/>
    <w:rsid w:val="3AD0140D"/>
    <w:rsid w:val="3BA427B5"/>
    <w:rsid w:val="3BD55437"/>
    <w:rsid w:val="3CC06339"/>
    <w:rsid w:val="3D1C31D0"/>
    <w:rsid w:val="3D1E2755"/>
    <w:rsid w:val="3D9E5D28"/>
    <w:rsid w:val="3DA75332"/>
    <w:rsid w:val="3DFC57E2"/>
    <w:rsid w:val="3E1B0D96"/>
    <w:rsid w:val="3E7F2E17"/>
    <w:rsid w:val="3EF23434"/>
    <w:rsid w:val="3F6C70F3"/>
    <w:rsid w:val="405C1398"/>
    <w:rsid w:val="40DE5DF9"/>
    <w:rsid w:val="4123306B"/>
    <w:rsid w:val="430C640E"/>
    <w:rsid w:val="431B42FA"/>
    <w:rsid w:val="43446568"/>
    <w:rsid w:val="445B73B5"/>
    <w:rsid w:val="45652BBE"/>
    <w:rsid w:val="45857D9C"/>
    <w:rsid w:val="461B5D11"/>
    <w:rsid w:val="4758078E"/>
    <w:rsid w:val="47AA7C5B"/>
    <w:rsid w:val="47E95008"/>
    <w:rsid w:val="48463C8E"/>
    <w:rsid w:val="486E5261"/>
    <w:rsid w:val="48C43A71"/>
    <w:rsid w:val="49A330DF"/>
    <w:rsid w:val="4A001C02"/>
    <w:rsid w:val="4A027BE8"/>
    <w:rsid w:val="4ADB665F"/>
    <w:rsid w:val="4B1E4B4A"/>
    <w:rsid w:val="4B863783"/>
    <w:rsid w:val="4BA30626"/>
    <w:rsid w:val="4BD777FC"/>
    <w:rsid w:val="4C8C27A2"/>
    <w:rsid w:val="4D7C592E"/>
    <w:rsid w:val="4D933355"/>
    <w:rsid w:val="4DB44709"/>
    <w:rsid w:val="4E873862"/>
    <w:rsid w:val="4EAA6B3D"/>
    <w:rsid w:val="4EAE1523"/>
    <w:rsid w:val="4F485E9E"/>
    <w:rsid w:val="50051AD4"/>
    <w:rsid w:val="50055358"/>
    <w:rsid w:val="500D694B"/>
    <w:rsid w:val="503E519A"/>
    <w:rsid w:val="50587360"/>
    <w:rsid w:val="514A0164"/>
    <w:rsid w:val="517B03BC"/>
    <w:rsid w:val="51F54803"/>
    <w:rsid w:val="531E0DED"/>
    <w:rsid w:val="532A2681"/>
    <w:rsid w:val="53CF538E"/>
    <w:rsid w:val="541406AE"/>
    <w:rsid w:val="54D526BD"/>
    <w:rsid w:val="554A2C28"/>
    <w:rsid w:val="561F70DE"/>
    <w:rsid w:val="56781A69"/>
    <w:rsid w:val="56C25932"/>
    <w:rsid w:val="57053448"/>
    <w:rsid w:val="570F0CE3"/>
    <w:rsid w:val="5727452D"/>
    <w:rsid w:val="575A58DF"/>
    <w:rsid w:val="57917FB7"/>
    <w:rsid w:val="57D577A7"/>
    <w:rsid w:val="581941FC"/>
    <w:rsid w:val="58661294"/>
    <w:rsid w:val="589F0819"/>
    <w:rsid w:val="58AB3F87"/>
    <w:rsid w:val="5A050C9C"/>
    <w:rsid w:val="5A4872C3"/>
    <w:rsid w:val="5AFE34D7"/>
    <w:rsid w:val="5BBD2610"/>
    <w:rsid w:val="5BF65C6D"/>
    <w:rsid w:val="5D525F29"/>
    <w:rsid w:val="5DAD753D"/>
    <w:rsid w:val="5DAE65A0"/>
    <w:rsid w:val="5E044A1A"/>
    <w:rsid w:val="5E3F48AD"/>
    <w:rsid w:val="5E7C0E8F"/>
    <w:rsid w:val="5F2B57AF"/>
    <w:rsid w:val="5F4E42A0"/>
    <w:rsid w:val="5FC66310"/>
    <w:rsid w:val="60DF3EFC"/>
    <w:rsid w:val="610B3AC7"/>
    <w:rsid w:val="61D17330"/>
    <w:rsid w:val="61F20541"/>
    <w:rsid w:val="62444AC8"/>
    <w:rsid w:val="6267079A"/>
    <w:rsid w:val="62DF3642"/>
    <w:rsid w:val="6308746D"/>
    <w:rsid w:val="6396536F"/>
    <w:rsid w:val="644D709C"/>
    <w:rsid w:val="649D011F"/>
    <w:rsid w:val="657E0A92"/>
    <w:rsid w:val="65C828DE"/>
    <w:rsid w:val="660F7395"/>
    <w:rsid w:val="67B37C48"/>
    <w:rsid w:val="67C94DD4"/>
    <w:rsid w:val="67DB0571"/>
    <w:rsid w:val="68C53D72"/>
    <w:rsid w:val="69090FE4"/>
    <w:rsid w:val="698D7F38"/>
    <w:rsid w:val="69956D8F"/>
    <w:rsid w:val="6AE25B02"/>
    <w:rsid w:val="6B825109"/>
    <w:rsid w:val="6BEF7813"/>
    <w:rsid w:val="6C157962"/>
    <w:rsid w:val="6C2830FF"/>
    <w:rsid w:val="6CBD35F3"/>
    <w:rsid w:val="6E4A150C"/>
    <w:rsid w:val="6E734FEC"/>
    <w:rsid w:val="6EE027E7"/>
    <w:rsid w:val="6F6F63DF"/>
    <w:rsid w:val="709F189B"/>
    <w:rsid w:val="723920F5"/>
    <w:rsid w:val="72797FEC"/>
    <w:rsid w:val="72A65A3E"/>
    <w:rsid w:val="72F16021"/>
    <w:rsid w:val="735A06B1"/>
    <w:rsid w:val="735C3151"/>
    <w:rsid w:val="737D6F09"/>
    <w:rsid w:val="73D13110"/>
    <w:rsid w:val="73F658CE"/>
    <w:rsid w:val="74477EBC"/>
    <w:rsid w:val="75236DD8"/>
    <w:rsid w:val="75783B1E"/>
    <w:rsid w:val="757E3214"/>
    <w:rsid w:val="75E52B7B"/>
    <w:rsid w:val="76233D60"/>
    <w:rsid w:val="7662178D"/>
    <w:rsid w:val="77727D83"/>
    <w:rsid w:val="77EB7A4D"/>
    <w:rsid w:val="78291AB0"/>
    <w:rsid w:val="78337E41"/>
    <w:rsid w:val="78482365"/>
    <w:rsid w:val="793A0D96"/>
    <w:rsid w:val="7AF83E4D"/>
    <w:rsid w:val="7BD57B81"/>
    <w:rsid w:val="7C7E2E81"/>
    <w:rsid w:val="7CB277FA"/>
    <w:rsid w:val="7DD62F81"/>
    <w:rsid w:val="7E287D01"/>
    <w:rsid w:val="7E750A05"/>
    <w:rsid w:val="7EB4296F"/>
    <w:rsid w:val="7EBA0FF5"/>
    <w:rsid w:val="7F063673"/>
    <w:rsid w:val="7F0D0A7F"/>
    <w:rsid w:val="7F7E6568"/>
    <w:rsid w:val="7F8F2A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locked/>
    <w:uiPriority w:val="99"/>
    <w:rPr>
      <w:rFonts w:ascii="Tahoma" w:hAnsi="Tahoma" w:cs="Tahoma"/>
      <w:b/>
      <w:bCs/>
      <w:kern w:val="44"/>
      <w:sz w:val="44"/>
      <w:szCs w:val="44"/>
    </w:rPr>
  </w:style>
  <w:style w:type="character" w:customStyle="1" w:styleId="11">
    <w:name w:val="标题 2 Char"/>
    <w:basedOn w:val="7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12">
    <w:name w:val="批注框文本 Char"/>
    <w:basedOn w:val="7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3">
    <w:name w:val="页脚 Char"/>
    <w:basedOn w:val="7"/>
    <w:link w:val="5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页眉 Char"/>
    <w:basedOn w:val="7"/>
    <w:link w:val="6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96</Words>
  <Characters>551</Characters>
  <Lines>4</Lines>
  <Paragraphs>1</Paragraphs>
  <TotalTime>1</TotalTime>
  <ScaleCrop>false</ScaleCrop>
  <LinksUpToDate>false</LinksUpToDate>
  <CharactersWithSpaces>646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2018-11-28T10:09:00Z</dcterms:created>
  <dc:creator>Administrator</dc:creator>
  <cp:lastModifiedBy>dong</cp:lastModifiedBy>
  <dcterms:modified xsi:type="dcterms:W3CDTF">2019-01-18T10:27:24Z</dcterms:modified>
  <dc:title>TL系列专业功放是一款采用高效率的TD类电路拓朴，保持了纯模拟功放结构美观合理，内置各种完善的保护电路，在极端的使用环境下可以正常工作，机器内部采用了大量进口元器件,运放采用了Burr Brown公司高性能音频系统设计的专用运放OPA2604与凌特公司的高保真运放LT1361,耦合电容采用了NICHICON公司的顶级MUSE系列产品,使得声音具有比较高的保真度,散热器采用了铲齿铝材料,功率管与散热器之间去掉了绝缘云母片,使得可以把功率管的热量迅速地传导到散热器上,通过风扇迅速地散发出去，适用于夜总会，高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